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Statement of Work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Parties</w:t>
      </w:r>
    </w:p>
    <w:p>
      <w:r>
        <w:t>Purchaser and service supplier with contractual entity names.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Work and assumptions</w:t>
      </w:r>
    </w:p>
    <w:p>
      <w:r>
        <w:t>Authorized activities, exclusions, dependencies and site access.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Deliverables and milestones</w:t>
      </w:r>
    </w:p>
    <w:p>
      <w:r>
        <w:t>Deliverable owner, due date, review and acceptance evidence.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Responsibilities</w:t>
      </w:r>
    </w:p>
    <w:p>
      <w:r>
        <w:t>Customer approvals and resources; supplier staffing and outputs.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Change and risk control</w:t>
      </w:r>
    </w:p>
    <w:p>
      <w:r>
        <w:t>How changes, outages and new requests are approved.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Fees and payment</w:t>
      </w:r>
    </w:p>
    <w:p>
      <w:r>
        <w:t>Milestone fee schedule and invoicing terms.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Acceptance and handover</w:t>
      </w:r>
    </w:p>
    <w:p>
      <w:r>
        <w:t>Tests, objections, corrective actions and sign-off.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