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Request for Information</w:t>
      </w:r>
    </w:p>
    <w:p>
      <w:r>
        <w:t>Editable purchasing template · Complete with your purchasing team.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Project context</w:t>
      </w:r>
    </w:p>
    <w:p>
      <w:r>
        <w:t>Why information is being requested; which services are involved.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Supplier identification</w:t>
      </w:r>
    </w:p>
    <w:p>
      <w:r>
        <w:t>Legal entity, jurisdiction, contact and relevant delivery arrangements.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Capabilities</w:t>
      </w:r>
    </w:p>
    <w:p>
      <w:r>
        <w:t>Methods, project approach, relevant resources and deployment options.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Security and governance</w:t>
      </w:r>
    </w:p>
    <w:p>
      <w:r>
        <w:t>Handling of customer data, independent assessment and responsibilities.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Support and knowledge transfer</w:t>
      </w:r>
    </w:p>
    <w:p>
      <w:r>
        <w:t>Coverage, escalation, documentation and customer capabilities retained.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Response format</w:t>
      </w:r>
    </w:p>
    <w:p>
      <w:r>
        <w:t>Deadline, contact, allowed attachments and evaluation method.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Information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