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Purchase Order — Draft for Internal Approval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Purchaser</w:t>
      </w:r>
    </w:p>
    <w:p>
      <w:r>
        <w:t>Registered buyer name and billing address.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Supplier</w:t>
      </w:r>
    </w:p>
    <w:p>
      <w:r>
        <w:t>Deep InfoSec SARL or supplier legal entity confirmed in the quote.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Internal reference</w:t>
      </w:r>
    </w:p>
    <w:p>
      <w:r>
        <w:t>Purchase requisition and procurement authorization.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Lines</w:t>
      </w:r>
    </w:p>
    <w:p>
      <w:r>
        <w:t>Description, quantity, unit fee, amount, tax and total.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Supporting documents</w:t>
      </w:r>
    </w:p>
    <w:p>
      <w:r>
        <w:t>Approved quotation, agreed SOW, supplier onboarding record.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Delivery and acceptance</w:t>
      </w:r>
    </w:p>
    <w:p>
      <w:r>
        <w:t>Delivery date, destination and acceptance owner.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7. Internal approvals</w:t>
      </w:r>
    </w:p>
    <w:p>
      <w:r>
        <w:t>Budget holder and procurement signatories. A draft is not an issued order.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— Draft for Internal Approval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