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PROFESSIONAL COMPETENCE</w:t>
      </w:r>
    </w:p>
    <w:p>
      <w:pPr>
        <w:pStyle w:val="Title"/>
      </w:pPr>
      <w:r>
        <w:t>Practical Competence Assessment</w:t>
      </w:r>
    </w:p>
    <w:p>
      <w:pPr>
        <w:pStyle w:val="Subtitle"/>
      </w:pPr>
      <w:r>
        <w:t>Public working template · authorized training environments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Organization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Candidate / assigned assessor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and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Authorized assessment scope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Complete each field with observable evidence. Do not include passwords, sensitive customer data or restricted operational details.</w:t>
      </w:r>
    </w:p>
    <w:p>
      <w:pPr>
        <w:pStyle w:val="Heading2"/>
      </w:pPr>
      <w:r>
        <w:t>1. Role and required competencies</w:t>
      </w:r>
    </w:p>
    <w:p>
      <w:r>
        <w:t>Identify role, tasks, expected outputs, prerequisite capability and authorized simulated environment.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Rules of engagement</w:t>
      </w:r>
    </w:p>
    <w:p>
      <w:r>
        <w:t>Describe approved lab limits, assistance rules, time, prohibited actions and stop conditions.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Performance tasks</w:t>
      </w:r>
    </w:p>
    <w:p>
      <w:r>
        <w:t>Record each practical activity, observed competence and assessor notes.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Decision rubric</w:t>
      </w:r>
    </w:p>
    <w:p>
      <w:r>
        <w:t>Score technical accuracy 40%, evidence and reporting 20%, risk reasoning 20%, safe scope 10%, oral defense 10%.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Assessment decision</w:t>
      </w:r>
    </w:p>
    <w:p>
      <w:r>
        <w:t>Pass/fail and corrective training. Material scope violations or invented evidence are grounds for failure.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Appeals and retakes</w:t>
      </w:r>
    </w:p>
    <w:p>
      <w:r>
        <w:t>Record review authority, appeal route and re-assessment conditions.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controlled professional training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Competence Assessment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